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29" w:rsidRDefault="00623829" w:rsidP="00623829">
      <w:bookmarkStart w:id="0" w:name="_GoBack"/>
      <w:bookmarkEnd w:id="0"/>
      <w:r>
        <w:t xml:space="preserve">Valberedningen föreslår följande för verksamhetsåret </w:t>
      </w:r>
      <w:r w:rsidR="00515C9A">
        <w:t>2017-2018</w:t>
      </w:r>
      <w:r>
        <w:t>:</w:t>
      </w:r>
    </w:p>
    <w:p w:rsidR="002C65A3" w:rsidRDefault="00623829" w:rsidP="00623829">
      <w:r>
        <w:t xml:space="preserve">Styrelsens sammansättning - </w:t>
      </w:r>
      <w:r w:rsidR="00AF5AC4">
        <w:t>sju</w:t>
      </w:r>
      <w:r>
        <w:t xml:space="preserve"> ordinarie ledamöter</w:t>
      </w:r>
      <w:r>
        <w:br/>
        <w:t xml:space="preserve"> och två suppleanter</w:t>
      </w:r>
      <w:r w:rsidR="002C65A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-287020</wp:posOffset>
            </wp:positionV>
            <wp:extent cx="1614805" cy="1118235"/>
            <wp:effectExtent l="0" t="0" r="4445" b="5715"/>
            <wp:wrapTight wrapText="bothSides">
              <wp:wrapPolygon edited="0">
                <wp:start x="0" y="0"/>
                <wp:lineTo x="0" y="21342"/>
                <wp:lineTo x="21405" y="21342"/>
                <wp:lineTo x="2140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1182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2C65A3" w:rsidRDefault="002C65A3"/>
    <w:p w:rsidR="00623829" w:rsidRDefault="00623829" w:rsidP="00317702">
      <w:pPr>
        <w:pStyle w:val="Ingetavstnd"/>
        <w:rPr>
          <w:b/>
          <w:u w:val="single"/>
        </w:rPr>
      </w:pPr>
    </w:p>
    <w:p w:rsidR="00623829" w:rsidRPr="00623829" w:rsidRDefault="00623829" w:rsidP="00623829">
      <w:pPr>
        <w:pStyle w:val="Ingetavstnd"/>
        <w:rPr>
          <w:b/>
        </w:rPr>
      </w:pPr>
      <w:r>
        <w:rPr>
          <w:b/>
          <w:u w:val="single"/>
        </w:rPr>
        <w:t>Ordinarie ledamot och ordförande: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5AC4">
        <w:rPr>
          <w:b/>
        </w:rPr>
        <w:t xml:space="preserve">                 </w:t>
      </w:r>
      <w:r>
        <w:rPr>
          <w:b/>
        </w:rPr>
        <w:t>Mandatperiod</w:t>
      </w:r>
    </w:p>
    <w:p w:rsidR="00623829" w:rsidRDefault="00515C9A" w:rsidP="00317702">
      <w:pPr>
        <w:pStyle w:val="Ingetavstnd"/>
      </w:pPr>
      <w:r>
        <w:t>Jens Johnsson</w:t>
      </w:r>
      <w:r w:rsidR="00FA22B8">
        <w:tab/>
      </w:r>
      <w:r>
        <w:t>Uppsala</w:t>
      </w:r>
      <w:r w:rsidR="00623829">
        <w:tab/>
      </w:r>
      <w:r w:rsidR="00623829">
        <w:tab/>
      </w:r>
      <w:r>
        <w:t>Nyval</w:t>
      </w:r>
      <w:r w:rsidR="00AF5AC4">
        <w:tab/>
        <w:t xml:space="preserve">                 </w:t>
      </w:r>
      <w:r>
        <w:t>2</w:t>
      </w:r>
      <w:r w:rsidR="00623829">
        <w:t xml:space="preserve"> år</w:t>
      </w:r>
    </w:p>
    <w:p w:rsidR="00623829" w:rsidRDefault="00623829" w:rsidP="00317702">
      <w:pPr>
        <w:pStyle w:val="Ingetavstnd"/>
      </w:pPr>
    </w:p>
    <w:p w:rsidR="00623829" w:rsidRDefault="00623829" w:rsidP="00317702">
      <w:pPr>
        <w:pStyle w:val="Ingetavstnd"/>
        <w:rPr>
          <w:b/>
          <w:u w:val="single"/>
        </w:rPr>
      </w:pPr>
    </w:p>
    <w:p w:rsidR="00317702" w:rsidRDefault="00317702" w:rsidP="00317702">
      <w:pPr>
        <w:pStyle w:val="Ingetavstnd"/>
        <w:rPr>
          <w:b/>
          <w:u w:val="single"/>
        </w:rPr>
      </w:pPr>
      <w:r>
        <w:rPr>
          <w:b/>
          <w:u w:val="single"/>
        </w:rPr>
        <w:t>Ordinarie ledamöter</w:t>
      </w:r>
      <w:r w:rsidR="00623829">
        <w:rPr>
          <w:b/>
          <w:u w:val="single"/>
        </w:rPr>
        <w:t>:</w:t>
      </w:r>
    </w:p>
    <w:p w:rsidR="00623829" w:rsidRDefault="00515C9A" w:rsidP="00317702">
      <w:pPr>
        <w:pStyle w:val="Ingetavstnd"/>
      </w:pPr>
      <w:r>
        <w:t>Dan Moberg</w:t>
      </w:r>
      <w:r>
        <w:tab/>
      </w:r>
      <w:r w:rsidR="00FA22B8">
        <w:tab/>
      </w:r>
      <w:r>
        <w:t>Tyresö</w:t>
      </w:r>
      <w:r>
        <w:tab/>
      </w:r>
      <w:r>
        <w:tab/>
        <w:t>Nyval</w:t>
      </w:r>
      <w:r w:rsidR="00AF5AC4">
        <w:tab/>
        <w:t xml:space="preserve">                 </w:t>
      </w:r>
      <w:r>
        <w:t>2</w:t>
      </w:r>
      <w:r w:rsidR="00623829">
        <w:t xml:space="preserve"> år</w:t>
      </w:r>
    </w:p>
    <w:p w:rsidR="00623829" w:rsidRPr="00623829" w:rsidRDefault="00515C9A" w:rsidP="00317702">
      <w:pPr>
        <w:pStyle w:val="Ingetavstnd"/>
      </w:pPr>
      <w:r>
        <w:t>Lars Näckmark</w:t>
      </w:r>
      <w:r w:rsidR="00623829">
        <w:tab/>
      </w:r>
      <w:r>
        <w:t>Helsingborg</w:t>
      </w:r>
      <w:r w:rsidR="00623829">
        <w:tab/>
      </w:r>
      <w:r w:rsidR="00FA22B8">
        <w:tab/>
      </w:r>
      <w:r>
        <w:t>Nyval</w:t>
      </w:r>
      <w:r w:rsidR="00AF5AC4">
        <w:tab/>
        <w:t xml:space="preserve">                 </w:t>
      </w:r>
      <w:r>
        <w:t>2</w:t>
      </w:r>
      <w:r w:rsidR="00623829">
        <w:t xml:space="preserve"> år</w:t>
      </w:r>
    </w:p>
    <w:p w:rsidR="00515C9A" w:rsidRDefault="00515C9A" w:rsidP="00317702">
      <w:pPr>
        <w:pStyle w:val="Ingetavstnd"/>
      </w:pPr>
      <w:r>
        <w:t>Henrik Claesson</w:t>
      </w:r>
      <w:r w:rsidR="00623829">
        <w:tab/>
      </w:r>
      <w:r>
        <w:t>Vetlanda</w:t>
      </w:r>
      <w:r w:rsidR="00623829">
        <w:tab/>
      </w:r>
      <w:r w:rsidR="00FA22B8">
        <w:tab/>
      </w:r>
      <w:r>
        <w:t xml:space="preserve">Fyllnadsval för </w:t>
      </w:r>
    </w:p>
    <w:p w:rsidR="00317702" w:rsidRDefault="00515C9A" w:rsidP="00515C9A">
      <w:pPr>
        <w:pStyle w:val="Ingetavstnd"/>
        <w:ind w:left="3912" w:firstLine="1304"/>
      </w:pPr>
      <w:r>
        <w:t xml:space="preserve">Fredrik </w:t>
      </w:r>
      <w:proofErr w:type="gramStart"/>
      <w:r>
        <w:t xml:space="preserve">Bergström         </w:t>
      </w:r>
      <w:r w:rsidR="00AF5AC4">
        <w:t xml:space="preserve"> </w:t>
      </w:r>
      <w:r>
        <w:t>1</w:t>
      </w:r>
      <w:proofErr w:type="gramEnd"/>
      <w:r w:rsidR="00623829">
        <w:t xml:space="preserve"> år</w:t>
      </w:r>
    </w:p>
    <w:p w:rsidR="00515C9A" w:rsidRDefault="00515C9A" w:rsidP="00317702">
      <w:pPr>
        <w:pStyle w:val="Ingetavstnd"/>
      </w:pPr>
    </w:p>
    <w:p w:rsidR="00515C9A" w:rsidRDefault="00515C9A" w:rsidP="00317702">
      <w:pPr>
        <w:pStyle w:val="Ingetavstnd"/>
      </w:pPr>
      <w:r>
        <w:t>(Ledamöter med ett år kvar: Tommy Jansson, Staffan Strand och Hugo Hemlin)</w:t>
      </w:r>
    </w:p>
    <w:p w:rsidR="00317702" w:rsidRDefault="00317702" w:rsidP="00317702">
      <w:pPr>
        <w:pStyle w:val="Ingetavstnd"/>
      </w:pPr>
    </w:p>
    <w:p w:rsidR="00317702" w:rsidRPr="00623829" w:rsidRDefault="00317702" w:rsidP="00317702">
      <w:pPr>
        <w:pStyle w:val="Ingetavstnd"/>
        <w:rPr>
          <w:b/>
          <w:u w:val="single"/>
        </w:rPr>
      </w:pPr>
      <w:r w:rsidRPr="00623829">
        <w:rPr>
          <w:b/>
          <w:u w:val="single"/>
        </w:rPr>
        <w:t>Suppleanter</w:t>
      </w:r>
      <w:r w:rsidR="00623829">
        <w:rPr>
          <w:b/>
          <w:u w:val="single"/>
        </w:rPr>
        <w:t>:</w:t>
      </w:r>
    </w:p>
    <w:p w:rsidR="00317702" w:rsidRPr="00623829" w:rsidRDefault="00317702" w:rsidP="00317702">
      <w:pPr>
        <w:pStyle w:val="Ingetavstnd"/>
      </w:pPr>
      <w:proofErr w:type="spellStart"/>
      <w:r w:rsidRPr="00623829">
        <w:t>Viglundur</w:t>
      </w:r>
      <w:proofErr w:type="spellEnd"/>
      <w:r w:rsidRPr="00623829">
        <w:t xml:space="preserve"> </w:t>
      </w:r>
      <w:proofErr w:type="spellStart"/>
      <w:r w:rsidRPr="00623829">
        <w:t>Gislason</w:t>
      </w:r>
      <w:proofErr w:type="spellEnd"/>
      <w:r w:rsidR="00623829">
        <w:tab/>
      </w:r>
      <w:r w:rsidR="00FA22B8">
        <w:t>Umeå</w:t>
      </w:r>
      <w:r w:rsidR="00623829">
        <w:tab/>
      </w:r>
      <w:r w:rsidR="00FA22B8">
        <w:tab/>
      </w:r>
      <w:r w:rsidR="00623829" w:rsidRPr="00515C9A">
        <w:t>Omval</w:t>
      </w:r>
      <w:r w:rsidR="00AF5AC4">
        <w:tab/>
        <w:t xml:space="preserve">                 </w:t>
      </w:r>
      <w:r w:rsidR="00623829">
        <w:t>1 år</w:t>
      </w:r>
    </w:p>
    <w:p w:rsidR="0002796C" w:rsidRPr="00AF5AC4" w:rsidRDefault="00515C9A" w:rsidP="00317702">
      <w:pPr>
        <w:pStyle w:val="Ingetavstnd"/>
      </w:pPr>
      <w:r>
        <w:t>Nils Scherman</w:t>
      </w:r>
      <w:r w:rsidR="0002796C">
        <w:tab/>
      </w:r>
      <w:r w:rsidR="00AF5AC4">
        <w:t>S</w:t>
      </w:r>
      <w:r>
        <w:t>kärholmen</w:t>
      </w:r>
      <w:r w:rsidR="00AF5AC4">
        <w:tab/>
      </w:r>
      <w:r w:rsidR="00AF5AC4">
        <w:tab/>
      </w:r>
      <w:r w:rsidR="00AF5AC4" w:rsidRPr="00515C9A">
        <w:t>Nyval</w:t>
      </w:r>
      <w:r w:rsidR="00AF5AC4">
        <w:rPr>
          <w:b/>
        </w:rPr>
        <w:tab/>
        <w:t xml:space="preserve">                 </w:t>
      </w:r>
      <w:r w:rsidR="00905574">
        <w:t>1</w:t>
      </w:r>
      <w:r w:rsidR="00AF5AC4">
        <w:t xml:space="preserve"> år</w:t>
      </w:r>
    </w:p>
    <w:p w:rsidR="0002796C" w:rsidRPr="00623829" w:rsidRDefault="0002796C" w:rsidP="00317702">
      <w:pPr>
        <w:pStyle w:val="Ingetavstnd"/>
      </w:pPr>
    </w:p>
    <w:p w:rsidR="00317702" w:rsidRPr="00623829" w:rsidRDefault="00317702" w:rsidP="00317702">
      <w:pPr>
        <w:pStyle w:val="Ingetavstnd"/>
        <w:rPr>
          <w:b/>
          <w:u w:val="single"/>
        </w:rPr>
      </w:pPr>
      <w:r w:rsidRPr="00623829">
        <w:rPr>
          <w:b/>
          <w:u w:val="single"/>
        </w:rPr>
        <w:t>Ordinarie revisor</w:t>
      </w:r>
      <w:r w:rsidR="00623829" w:rsidRPr="00623829">
        <w:rPr>
          <w:b/>
          <w:u w:val="single"/>
        </w:rPr>
        <w:t>:</w:t>
      </w:r>
    </w:p>
    <w:p w:rsidR="00317702" w:rsidRPr="00623829" w:rsidRDefault="00317702" w:rsidP="00317702">
      <w:pPr>
        <w:pStyle w:val="Ingetavstnd"/>
      </w:pPr>
      <w:r w:rsidRPr="00623829">
        <w:t>Jan Lindblad</w:t>
      </w:r>
      <w:r w:rsidR="00623829">
        <w:tab/>
      </w:r>
      <w:r w:rsidR="00623829">
        <w:tab/>
      </w:r>
      <w:r w:rsidR="00FA22B8">
        <w:t>Vrigstad</w:t>
      </w:r>
      <w:r w:rsidR="00623829">
        <w:tab/>
      </w:r>
      <w:r w:rsidR="00FA22B8">
        <w:tab/>
      </w:r>
      <w:r w:rsidR="00623829" w:rsidRPr="00515C9A">
        <w:t>Omval</w:t>
      </w:r>
      <w:r w:rsidR="00AF5AC4">
        <w:tab/>
        <w:t xml:space="preserve">                 </w:t>
      </w:r>
      <w:r w:rsidR="00623829">
        <w:t>1 år</w:t>
      </w:r>
    </w:p>
    <w:p w:rsidR="00317702" w:rsidRPr="00623829" w:rsidRDefault="00317702" w:rsidP="00317702">
      <w:pPr>
        <w:pStyle w:val="Ingetavstnd"/>
      </w:pPr>
    </w:p>
    <w:p w:rsidR="00317702" w:rsidRPr="00623829" w:rsidRDefault="00317702" w:rsidP="00317702">
      <w:pPr>
        <w:pStyle w:val="Ingetavstnd"/>
        <w:rPr>
          <w:b/>
          <w:u w:val="single"/>
        </w:rPr>
      </w:pPr>
      <w:r w:rsidRPr="00623829">
        <w:rPr>
          <w:b/>
          <w:u w:val="single"/>
        </w:rPr>
        <w:t>Revisorssuppleant</w:t>
      </w:r>
      <w:r w:rsidR="00623829" w:rsidRPr="00623829">
        <w:rPr>
          <w:b/>
          <w:u w:val="single"/>
        </w:rPr>
        <w:t>:</w:t>
      </w:r>
    </w:p>
    <w:p w:rsidR="00317702" w:rsidRPr="00317702" w:rsidRDefault="00317702" w:rsidP="00317702">
      <w:pPr>
        <w:pStyle w:val="Ingetavstnd"/>
      </w:pPr>
      <w:r w:rsidRPr="00317702">
        <w:t>Johann Skulason</w:t>
      </w:r>
      <w:r w:rsidR="00623829">
        <w:tab/>
      </w:r>
      <w:r w:rsidR="00FA22B8">
        <w:t>Göteborg</w:t>
      </w:r>
      <w:r w:rsidR="00623829">
        <w:tab/>
      </w:r>
      <w:r w:rsidR="00FA22B8">
        <w:tab/>
      </w:r>
      <w:r w:rsidR="00623829" w:rsidRPr="00515C9A">
        <w:t>Omval</w:t>
      </w:r>
      <w:r w:rsidR="00AF5AC4">
        <w:tab/>
        <w:t xml:space="preserve">                 </w:t>
      </w:r>
      <w:r w:rsidR="00623829">
        <w:t>1 år</w:t>
      </w:r>
    </w:p>
    <w:p w:rsidR="00351F3A" w:rsidRPr="00317702" w:rsidRDefault="00351F3A"/>
    <w:p w:rsidR="002C65A3" w:rsidRDefault="002C65A3"/>
    <w:p w:rsidR="002C65A3" w:rsidRPr="00317702" w:rsidRDefault="00FA22B8">
      <w:r>
        <w:t xml:space="preserve">Valberedningen för </w:t>
      </w:r>
      <w:r w:rsidR="002C65A3">
        <w:t xml:space="preserve">Swedish </w:t>
      </w:r>
      <w:proofErr w:type="spellStart"/>
      <w:r w:rsidR="002C65A3">
        <w:t>Stokies</w:t>
      </w:r>
      <w:proofErr w:type="spellEnd"/>
      <w:r>
        <w:t xml:space="preserve"> har </w:t>
      </w:r>
      <w:r w:rsidR="00515C9A">
        <w:t xml:space="preserve">under verksamhetsåret 2016-17 </w:t>
      </w:r>
      <w:r>
        <w:t xml:space="preserve">varit </w:t>
      </w:r>
      <w:r w:rsidR="00515C9A">
        <w:t>Lars Näckmark</w:t>
      </w:r>
      <w:r>
        <w:t xml:space="preserve"> och Dan Moberg</w:t>
      </w:r>
    </w:p>
    <w:p w:rsidR="00351F3A" w:rsidRPr="00317702" w:rsidRDefault="00351F3A"/>
    <w:sectPr w:rsidR="00351F3A" w:rsidRPr="00317702" w:rsidSect="00AE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3A"/>
    <w:rsid w:val="0002796C"/>
    <w:rsid w:val="00051E44"/>
    <w:rsid w:val="002C65A3"/>
    <w:rsid w:val="00317702"/>
    <w:rsid w:val="00351F3A"/>
    <w:rsid w:val="004E34ED"/>
    <w:rsid w:val="00515C9A"/>
    <w:rsid w:val="005E047E"/>
    <w:rsid w:val="00623829"/>
    <w:rsid w:val="007E76FC"/>
    <w:rsid w:val="008037E4"/>
    <w:rsid w:val="00905574"/>
    <w:rsid w:val="00AC3061"/>
    <w:rsid w:val="00AE736C"/>
    <w:rsid w:val="00AF47BE"/>
    <w:rsid w:val="00AF5AC4"/>
    <w:rsid w:val="00CD5014"/>
    <w:rsid w:val="00FA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7B9A-D58A-4DBC-9DBF-F02253C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77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larhet">
  <a:themeElements>
    <a:clrScheme name="Klarh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288E-2309-4FF5-9AF2-42AB0001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Hemlin Hugo (ND-OA)</dc:creator>
  <cp:lastModifiedBy>Claesson, Henrik</cp:lastModifiedBy>
  <cp:revision>2</cp:revision>
  <cp:lastPrinted>2016-06-14T13:41:00Z</cp:lastPrinted>
  <dcterms:created xsi:type="dcterms:W3CDTF">2017-09-08T12:59:00Z</dcterms:created>
  <dcterms:modified xsi:type="dcterms:W3CDTF">2017-09-08T12:59:00Z</dcterms:modified>
</cp:coreProperties>
</file>